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  <w:t xml:space="preserve">Приложение №1 </w:t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highlight w:val="yellow"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  <w:t xml:space="preserve">к </w:t>
      </w:r>
      <w:r>
        <w:rPr>
          <w:rFonts w:ascii="Times New Roman" w:hAnsi="Times New Roman" w:eastAsia="Times New Roman"/>
          <w:b/>
          <w:bCs/>
          <w:lang w:eastAsia="ru-RU"/>
        </w:rPr>
        <w:t xml:space="preserve">Договор</w:t>
      </w:r>
      <w:r>
        <w:rPr>
          <w:rFonts w:ascii="Times New Roman" w:hAnsi="Times New Roman" w:eastAsia="Times New Roman"/>
          <w:b/>
          <w:bCs/>
          <w:lang w:eastAsia="ru-RU"/>
        </w:rPr>
        <w:t xml:space="preserve">у</w:t>
      </w:r>
      <w:r>
        <w:rPr>
          <w:rFonts w:ascii="Times New Roman" w:hAnsi="Times New Roman" w:eastAsia="Times New Roman"/>
          <w:b/>
          <w:bCs/>
          <w:lang w:eastAsia="ru-RU"/>
        </w:rPr>
        <w:t xml:space="preserve"> № от </w:t>
      </w:r>
      <w:r>
        <w:rPr>
          <w:rFonts w:ascii="Times New Roman" w:hAnsi="Times New Roman" w:eastAsia="Times New Roman"/>
          <w:b/>
          <w:bCs/>
          <w:lang w:eastAsia="ru-RU"/>
        </w:rPr>
        <w:t xml:space="preserve">01.2024</w:t>
      </w:r>
      <w:r>
        <w:rPr>
          <w:rFonts w:ascii="Times New Roman" w:hAnsi="Times New Roman" w:eastAsia="Times New Roman"/>
          <w:b/>
          <w:bCs/>
          <w:lang w:eastAsia="ru-RU"/>
        </w:rPr>
        <w:t xml:space="preserve">г.</w:t>
      </w:r>
      <w:r>
        <w:rPr>
          <w:rFonts w:ascii="Times New Roman" w:hAnsi="Times New Roman" w:eastAsia="Times New Roman"/>
          <w:highlight w:val="yellow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caps/>
          <w:sz w:val="12"/>
          <w:szCs w:val="12"/>
          <w:lang w:eastAsia="ru-RU"/>
        </w:rPr>
        <w:outlineLvl w:val="0"/>
      </w:pPr>
      <w:r>
        <w:rPr>
          <w:rFonts w:ascii="Times New Roman" w:hAnsi="Times New Roman" w:eastAsia="Times New Roman"/>
          <w:b/>
          <w:caps/>
          <w:sz w:val="12"/>
          <w:szCs w:val="12"/>
          <w:lang w:eastAsia="ru-RU"/>
        </w:rPr>
      </w:r>
      <w:r>
        <w:rPr>
          <w:rFonts w:ascii="Times New Roman" w:hAnsi="Times New Roman" w:eastAsia="Times New Roman"/>
          <w:b/>
          <w:caps/>
          <w:sz w:val="12"/>
          <w:szCs w:val="12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caps/>
          <w:lang w:eastAsia="ru-RU"/>
        </w:rPr>
        <w:outlineLvl w:val="0"/>
      </w:pPr>
      <w:r>
        <w:rPr>
          <w:rFonts w:ascii="Times New Roman" w:hAnsi="Times New Roman" w:eastAsia="Times New Roman"/>
          <w:b/>
          <w:caps/>
          <w:lang w:eastAsia="ru-RU"/>
        </w:rPr>
        <w:t xml:space="preserve">Техническое задание </w:t>
      </w:r>
      <w:r>
        <w:rPr>
          <w:rFonts w:ascii="Times New Roman" w:hAnsi="Times New Roman" w:eastAsia="Times New Roman"/>
          <w:b/>
          <w:caps/>
          <w:lang w:eastAsia="ru-RU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  <w:t xml:space="preserve">на оказание услуги по изготовлению и монтажу видеоролика с целью продвижения информации о деятельности центра «Мой бизнес»</w:t>
      </w:r>
      <w:r>
        <w:rPr>
          <w:rFonts w:ascii="Times New Roman" w:hAnsi="Times New Roman" w:eastAsia="Times New Roman"/>
          <w:b/>
          <w:bCs/>
          <w:lang w:eastAsia="ru-RU"/>
        </w:rPr>
      </w:r>
    </w:p>
    <w:tbl>
      <w:tblPr>
        <w:tblpPr w:horzAnchor="margin" w:tblpXSpec="center" w:vertAnchor="text" w:tblpY="146" w:leftFromText="180" w:topFromText="0" w:rightFromText="180" w:bottomFromText="160"/>
        <w:tblW w:w="99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121"/>
        <w:gridCol w:w="7794"/>
      </w:tblGrid>
      <w:tr>
        <w:trPr>
          <w:trHeight w:val="9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/>
                <w:lang w:eastAsia="ru-RU"/>
                <w14:ligatures w14:val="standardContextual"/>
              </w:rPr>
            </w:r>
            <w:r>
              <w:rPr>
                <w:rFonts w:ascii="Times New Roman" w:hAnsi="Times New Roman" w:eastAsia="Times New Roman"/>
                <w:lang w:eastAsia="ru-RU"/>
                <w14:ligatures w14:val="standardContextual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/>
                <w:lang w:eastAsia="ru-RU"/>
                <w14:ligatures w14:val="standardContextual"/>
              </w:rPr>
            </w:r>
            <w:r>
              <w:rPr>
                <w:rFonts w:ascii="Times New Roman" w:hAnsi="Times New Roman" w:eastAsia="Times New Roman"/>
                <w:lang w:eastAsia="ru-RU"/>
                <w14:ligatures w14:val="standardContextual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highlight w:val="yellow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/>
                <w:lang w:eastAsia="ru-RU"/>
                <w14:ligatures w14:val="standardContextual"/>
              </w:rPr>
              <w:t xml:space="preserve">Формат/ количество/характеристика/ </w:t>
            </w:r>
            <w:r>
              <w:rPr>
                <w:rFonts w:ascii="Times New Roman" w:hAnsi="Times New Roman" w:eastAsia="Times New Roman"/>
                <w:bCs/>
                <w:highlight w:val="yellow"/>
                <w:lang w:eastAsia="ru-RU"/>
                <w14:ligatures w14:val="standardContextu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794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ind w:left="0" w:right="28" w:firstLine="34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 w:eastAsiaTheme="minorHAnsi"/>
                <w:bCs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Создание и монтаж видеоролика – 1 шт.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1"/>
              </w:numPr>
              <w:ind w:left="0" w:right="28" w:firstLine="34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Требования к созданию и монтажа видеоролика: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2"/>
              </w:numPr>
              <w:ind w:left="34" w:right="28" w:firstLine="0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Формат 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FullHD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 (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1920x1080 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);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2"/>
              </w:numPr>
              <w:ind w:left="34" w:right="28" w:firstLine="0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Качество видеоролик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а 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должно соответствовать следующим требованиям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: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</w:r>
          </w:p>
          <w:p>
            <w:pPr>
              <w:ind w:left="34" w:right="28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/>
                <w:bCs/>
                <w14:ligatures w14:val="standardContextual"/>
              </w:rPr>
            </w:pPr>
            <w:r>
              <w:rPr>
                <w:rFonts w:ascii="Times New Roman" w:hAnsi="Times New Roman"/>
                <w:bCs/>
                <w14:ligatures w14:val="standardContextual"/>
              </w:rPr>
              <w:t xml:space="preserve">а) </w:t>
            </w:r>
            <w:r>
              <w:rPr>
                <w:rFonts w:ascii="Times New Roman" w:hAnsi="Times New Roman"/>
                <w:bCs/>
                <w14:ligatures w14:val="standardContextual"/>
              </w:rPr>
              <w:t xml:space="preserve">отсутствие дефектов воспроизведения видео: потеря элементов изображения,</w:t>
            </w:r>
            <w:r>
              <w:rPr>
                <w:rFonts w:ascii="Times New Roman" w:hAnsi="Times New Roman"/>
                <w:bCs/>
                <w14:ligatures w14:val="standardContextual"/>
              </w:rPr>
              <w:t xml:space="preserve"> з</w:t>
            </w:r>
            <w:r>
              <w:rPr>
                <w:rFonts w:ascii="Times New Roman" w:hAnsi="Times New Roman"/>
                <w:bCs/>
                <w14:ligatures w14:val="standardContextual"/>
              </w:rPr>
              <w:t xml:space="preserve">асвеченного/темного воспроизведения, более низкого качества воспроизведения;</w:t>
            </w:r>
            <w:r>
              <w:rPr>
                <w:rFonts w:ascii="Times New Roman" w:hAnsi="Times New Roman"/>
                <w:bCs/>
                <w14:ligatures w14:val="standardContextual"/>
              </w:rPr>
            </w:r>
          </w:p>
          <w:p>
            <w:pPr>
              <w:pStyle w:val="625"/>
              <w:ind w:left="34" w:right="28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б) 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музыкальное сопровождение не должно содержать посторонних шумов. При музыкальном оформлении видеороликов не допускаются нарушения авторских прав и других форм 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неправомерного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 заимствования;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2"/>
              </w:numPr>
              <w:ind w:left="34" w:right="28" w:firstLine="0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Исполнитель должен иметь возможность при необходимости Заказчика сделать дополнительную версию в разрешении 4K;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2"/>
              </w:numPr>
              <w:ind w:left="34" w:right="28" w:firstLine="0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Формат видео - .mp4 с кодеком h.264;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2"/>
              </w:numPr>
              <w:ind w:left="34" w:right="28" w:firstLine="0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Формат аудио - стерео, несжатое;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2"/>
              </w:numPr>
              <w:ind w:left="34" w:right="28" w:firstLine="0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Длительность -</w:t>
            </w:r>
            <w:r>
              <w:rPr>
                <w:rFonts w:ascii="Times New Roman" w:hAnsi="Times New Roman" w:cs="Times New Roman"/>
                <w:bCs/>
                <w:highlight w:val="yellow"/>
                <w14:ligatures w14:val="standardContextual"/>
              </w:rPr>
              <w:t xml:space="preserve"> 30-40 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секунд; не менее 50 - 60 сек.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2"/>
              </w:numPr>
              <w:ind w:left="34" w:right="28" w:firstLine="0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Язык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  <w:tab/>
              <w:t xml:space="preserve">Русский;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2"/>
              </w:numPr>
              <w:ind w:left="34" w:right="28" w:firstLine="0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Тип видеоконтента – комбинированный;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2"/>
              </w:numPr>
              <w:ind w:left="34" w:right="28" w:firstLine="0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Аудитория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  <w:tab/>
              <w:t xml:space="preserve">- представители субъектов малого и среднего предпринимательства, органов власти Республики Мордовия и Российской Федерации, общественных организаций, СМИ;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2"/>
              </w:numPr>
              <w:ind w:left="34" w:right="28" w:firstLine="0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Цель 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и задача 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видеоролика (концепция) -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донесение до аудитории значимость «Центра «Мой бизнес»;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</w:r>
          </w:p>
          <w:p>
            <w:pPr>
              <w:pStyle w:val="625"/>
              <w:ind w:left="34" w:right="28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Атмосфера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  <w:tab/>
              <w:t xml:space="preserve">- динамично, лаконично, легко, ярко; 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2"/>
              </w:numPr>
              <w:ind w:left="34" w:right="28" w:firstLine="0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:highlight w:val="gree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Пожелания по сценарию - </w:t>
            </w:r>
            <w:r>
              <w:rPr>
                <w:rFonts w:ascii="Times New Roman" w:hAnsi="Times New Roman" w:cs="Times New Roman"/>
                <w:bCs/>
                <w:highlight w:val="yellow"/>
                <w14:ligatures w14:val="standardContextual"/>
              </w:rPr>
              <w:t xml:space="preserve">использование в ролике субъектов предпринимательства, соотве</w:t>
            </w:r>
            <w:r>
              <w:rPr>
                <w:rFonts w:ascii="Times New Roman" w:hAnsi="Times New Roman" w:cs="Times New Roman"/>
                <w:bCs/>
                <w:highlight w:val="yellow"/>
                <w14:ligatures w14:val="standardContextual"/>
              </w:rPr>
              <w:t xml:space="preserve">тствующих критериям отнесения к сектору субъектов малого и среднего предпринимательства  в соответствии со статьей 4 Федерального закона «О развитии малого и среднего предпринимательства в Российской Федерации» от 24 июля 2007 г. № 209-ФЗ, зарегистрированн</w:t>
            </w:r>
            <w:r>
              <w:rPr>
                <w:rFonts w:ascii="Times New Roman" w:hAnsi="Times New Roman" w:cs="Times New Roman"/>
                <w:bCs/>
                <w:highlight w:val="yellow"/>
                <w14:ligatures w14:val="standardContextual"/>
              </w:rPr>
              <w:t xml:space="preserve">ых на территории Республики Мордовия в установленном порядке и осуществляющие свою деятельность на территории Республики Мордовия, состоящие в едином реестре субъектов малого и среднего предпринимательства Федеральной налоговой службы Российской Федераци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и; </w:t>
            </w:r>
            <w:r>
              <w:rPr>
                <w:rFonts w:ascii="Times New Roman" w:hAnsi="Times New Roman" w:cs="Times New Roman"/>
                <w:bCs/>
                <w:highlight w:val="green"/>
                <w14:ligatures w14:val="standardContextual"/>
              </w:rPr>
              <w:t xml:space="preserve">согласовывается с Заказчиком</w:t>
            </w:r>
            <w:r>
              <w:rPr>
                <w:rFonts w:ascii="Times New Roman" w:hAnsi="Times New Roman" w:cs="Times New Roman"/>
                <w:bCs/>
                <w:highlight w:val="green"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2"/>
              </w:numPr>
              <w:ind w:left="34" w:right="28" w:firstLine="0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Локации - зависит от выбранной идеи и согласовывается с Заказчиком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2"/>
              </w:numPr>
              <w:ind w:left="34" w:right="28" w:firstLine="0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Участники видеосъемки - зависит от выбранной идеи и согласовывается с Заказчиком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2"/>
              </w:numPr>
              <w:ind w:left="34" w:right="28" w:firstLine="0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Звук – разборчивый, допустимо использовать музыкальное оформление;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2"/>
              </w:numPr>
              <w:ind w:left="34" w:right="28" w:firstLine="0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/>
                <w:bCs/>
                <w14:ligatures w14:val="standardContextual"/>
              </w:rPr>
              <w:t xml:space="preserve">Монтаж видеоролика производится с использованием профессиональных</w:t>
            </w:r>
            <w:r>
              <w:rPr>
                <w:rFonts w:ascii="Times New Roman" w:hAnsi="Times New Roman"/>
                <w:bCs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bCs/>
                <w14:ligatures w14:val="standardContextual"/>
              </w:rPr>
              <w:t xml:space="preserve">лицензионных программ</w:t>
            </w:r>
            <w:r>
              <w:rPr>
                <w:rFonts w:ascii="Times New Roman" w:hAnsi="Times New Roman"/>
                <w:bCs/>
                <w14:ligatures w14:val="standardContextual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2"/>
              </w:numPr>
              <w:ind w:left="34" w:right="28" w:firstLine="0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/>
                <w:bCs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закадровый текст должен соответствовать видеоряду и начитываться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bCs/>
                <w14:ligatures w14:val="standardContextual"/>
              </w:rPr>
              <w:t xml:space="preserve">диктором на русском языке</w:t>
            </w:r>
            <w:r>
              <w:rPr>
                <w:rFonts w:ascii="Times New Roman" w:hAnsi="Times New Roman"/>
                <w:bCs/>
                <w14:ligatures w14:val="standardContextual"/>
              </w:rPr>
              <w:t xml:space="preserve">;</w:t>
            </w:r>
            <w:r>
              <w:rPr>
                <w:rFonts w:ascii="Times New Roman" w:hAnsi="Times New Roman"/>
                <w:bCs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2"/>
              </w:numPr>
              <w:ind w:left="34" w:right="28" w:firstLine="0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/>
                <w:bCs/>
                <w14:ligatures w14:val="standardContextual"/>
              </w:rPr>
            </w:pPr>
            <w:r>
              <w:rPr>
                <w:rFonts w:ascii="Times New Roman" w:hAnsi="Times New Roman"/>
                <w:bCs/>
                <w14:ligatures w14:val="standardContextual"/>
              </w:rPr>
              <w:t xml:space="preserve">видеоролик должен быть записан в нескольких форматах, и пригоден для размещения в информационно-телекоммуникационной сети «Интернет», социальных сетях, телевидении</w:t>
            </w:r>
            <w:r>
              <w:rPr>
                <w:rFonts w:ascii="Times New Roman" w:hAnsi="Times New Roman"/>
                <w:bCs/>
                <w14:ligatures w14:val="standardContextual"/>
              </w:rPr>
              <w:t xml:space="preserve">;</w:t>
            </w:r>
            <w:r>
              <w:rPr>
                <w:rFonts w:ascii="Times New Roman" w:hAnsi="Times New Roman"/>
                <w:bCs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2"/>
              </w:numPr>
              <w:ind w:left="34" w:right="28" w:firstLine="0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/>
                <w:bCs/>
                <w14:ligatures w14:val="standardContextual"/>
              </w:rPr>
            </w:pPr>
            <w:r>
              <w:rPr>
                <w:rFonts w:ascii="Times New Roman" w:hAnsi="Times New Roman"/>
                <w:bCs/>
                <w14:ligatures w14:val="standardContextual"/>
              </w:rPr>
              <w:t xml:space="preserve">допустимо использование специфических эффектов, цветокоррекция, анимированной заставки в рамках создания видеоролика.</w:t>
            </w:r>
            <w:r>
              <w:rPr>
                <w:rFonts w:ascii="Times New Roman" w:hAnsi="Times New Roman"/>
                <w:bCs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1"/>
              </w:numPr>
              <w:ind w:left="0" w:right="28" w:firstLine="34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:highlight w:val="green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Исполнитель по требованию Заказчика вносит в созданный </w:t>
            </w:r>
            <w:r>
              <w:rPr>
                <w:rFonts w:ascii="Times New Roman" w:hAnsi="Times New Roman"/>
                <w:bCs/>
                <w14:ligatures w14:val="standardContextual"/>
              </w:rPr>
              <w:t xml:space="preserve">видеоролик изменения, </w:t>
            </w:r>
            <w:r>
              <w:rPr>
                <w:rFonts w:ascii="Times New Roman" w:hAnsi="Times New Roman"/>
                <w:bCs/>
                <w14:ligatures w14:val="standardContextual"/>
              </w:rPr>
              <w:t xml:space="preserve">количество которых не ограничено. </w:t>
            </w:r>
            <w:r>
              <w:rPr>
                <w:rFonts w:ascii="Times New Roman" w:hAnsi="Times New Roman"/>
                <w:bCs/>
                <w:highlight w:val="green"/>
                <w14:ligatures w14:val="standardContextual"/>
              </w:rPr>
              <w:t xml:space="preserve">В случае, если созданный видеоролик не соответствует согласованной концепции  согласно Техическому заданию, Исполнитель производит дополнительную съемку и (или)  пересъемку сюжетов.</w:t>
            </w:r>
            <w:r>
              <w:rPr>
                <w:rFonts w:ascii="Times New Roman" w:hAnsi="Times New Roman" w:cs="Times New Roman"/>
                <w:bCs/>
                <w:highlight w:val="green"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1"/>
              </w:numPr>
              <w:ind w:left="0" w:right="28" w:firstLine="34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Требования к Исполнителю: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2"/>
              </w:numPr>
              <w:ind w:left="34" w:right="28" w:firstLine="0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профессиональное съемочное оборудование с возможностью записи видео в разрешении не ниже 4К, динамический диапазон RAW;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2"/>
              </w:numPr>
              <w:ind w:left="34" w:right="28" w:firstLine="0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комплект осветительного оборудования и источников освещения;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2"/>
              </w:numPr>
              <w:ind w:left="34" w:right="28" w:firstLine="0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 специализированное операторское оборудование;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2"/>
              </w:numPr>
              <w:ind w:left="34" w:right="28" w:firstLine="0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использование электронной системы стабилизации камеры;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1"/>
              </w:numPr>
              <w:ind w:left="0" w:right="28" w:firstLine="34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Услуга оказывается в онлайн формате. 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1"/>
              </w:numPr>
              <w:ind w:left="0" w:right="28" w:firstLine="34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В течение 5 (пяти) рабочих дней с момента завершения оказания услуги Исполнитель представляет Заказчику следующие документы: 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2"/>
              </w:numPr>
              <w:ind w:left="34" w:right="28" w:firstLine="0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акт сдачи-приемки оказанных услуг в 2 (двух) экземплярах согласно Приложению №2 к Договору; 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2"/>
              </w:numPr>
              <w:ind w:left="34" w:right="28" w:firstLine="0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аналитическую справку в электронном виде и на бумажном носителе в свободной форме, подписанную Исполнителем;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2"/>
              </w:numPr>
              <w:ind w:left="34" w:right="28" w:firstLine="0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соглашение/договор с третьими лицами (в случае привлечения третьих лиц (контрагентов) к исполнению Договора);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2"/>
              </w:numPr>
              <w:ind w:left="34" w:right="28" w:firstLine="0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/>
                <w:bCs/>
                <w14:ligatures w14:val="standardContextual"/>
              </w:rPr>
              <w:t xml:space="preserve">готовое смонтированное в</w:t>
            </w:r>
            <w:r>
              <w:rPr>
                <w:rFonts w:ascii="Times New Roman" w:hAnsi="Times New Roman"/>
                <w:bCs/>
                <w14:ligatures w14:val="standardContextual"/>
              </w:rPr>
              <w:t xml:space="preserve">идео, отвечающее требованиям и характеристикам, указанным в настоящем </w:t>
            </w:r>
            <w:r>
              <w:rPr>
                <w:rFonts w:ascii="Times New Roman" w:hAnsi="Times New Roman"/>
                <w:bCs/>
                <w14:ligatures w14:val="standardContextual"/>
              </w:rPr>
              <w:t xml:space="preserve">Т</w:t>
            </w:r>
            <w:r>
              <w:rPr>
                <w:rFonts w:ascii="Times New Roman" w:hAnsi="Times New Roman"/>
                <w:bCs/>
                <w14:ligatures w14:val="standardContextual"/>
              </w:rPr>
              <w:t xml:space="preserve">ехническом задании, записанное на USB-флэш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 xml:space="preserve">-</w:t>
            </w:r>
            <w:r>
              <w:rPr>
                <w:rFonts w:ascii="Times New Roman" w:hAnsi="Times New Roman"/>
                <w:bCs/>
                <w14:ligatures w14:val="standardContextual"/>
              </w:rPr>
              <w:t xml:space="preserve">накопитель</w:t>
            </w:r>
            <w:r>
              <w:rPr>
                <w:rFonts w:ascii="Times New Roman" w:hAnsi="Times New Roman"/>
                <w:bCs/>
                <w14:ligatures w14:val="standardContextual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2"/>
              </w:numPr>
              <w:ind w:left="34" w:right="28" w:firstLine="0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иные материалы и документы по усмотрению Исполнителя или по запросу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2"/>
              </w:numPr>
              <w:ind w:left="34" w:right="28" w:firstLine="0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/>
                <w:bCs/>
                <w14:ligatures w14:val="standardContextual"/>
              </w:rPr>
              <w:t xml:space="preserve">письменное согласие субъектов </w:t>
            </w:r>
            <w:r>
              <w:t xml:space="preserve">на</w:t>
            </w:r>
            <w:r>
              <w:rPr>
                <w:rFonts w:ascii="Times New Roman" w:hAnsi="Times New Roman"/>
                <w:bCs/>
                <w14:ligatures w14:val="standardContextual"/>
              </w:rPr>
              <w:t xml:space="preserve"> обработку персональных данных</w:t>
            </w:r>
            <w:r>
              <w:rPr>
                <w:rFonts w:ascii="Times New Roman" w:hAnsi="Times New Roman"/>
                <w:bCs/>
                <w14:ligatures w14:val="standardContextual"/>
              </w:rPr>
              <w:t xml:space="preserve"> в </w:t>
            </w:r>
            <w:r>
              <w:rPr>
                <w:rFonts w:ascii="Times New Roman" w:hAnsi="Times New Roman"/>
                <w:bCs/>
                <w14:ligatures w14:val="standardContextual"/>
              </w:rPr>
              <w:t xml:space="preserve">случае участия в </w:t>
            </w:r>
            <w:r>
              <w:rPr>
                <w:rFonts w:ascii="Times New Roman" w:hAnsi="Times New Roman"/>
                <w:bCs/>
                <w14:ligatures w14:val="standardContextual"/>
              </w:rPr>
              <w:t xml:space="preserve">видеозаписи</w:t>
            </w:r>
            <w:r>
              <w:rPr>
                <w:rFonts w:ascii="Times New Roman" w:hAnsi="Times New Roman"/>
                <w:bCs/>
                <w14:ligatures w14:val="standardContextual"/>
              </w:rPr>
              <w:t xml:space="preserve"> привлеченных лиц</w:t>
            </w:r>
            <w:r>
              <w:rPr>
                <w:rFonts w:ascii="Times New Roman" w:hAnsi="Times New Roman"/>
                <w:bCs/>
                <w14:ligatures w14:val="standardContextual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2"/>
              </w:numPr>
              <w:ind w:left="34" w:right="28" w:firstLine="0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 w:eastAsia="Times New Roman"/>
              </w:rPr>
              <w:t xml:space="preserve">с</w:t>
            </w:r>
            <w:r>
              <w:rPr>
                <w:rFonts w:ascii="Times New Roman" w:hAnsi="Times New Roman" w:eastAsia="Times New Roman"/>
              </w:rPr>
              <w:t xml:space="preserve">правка о постановке на учет физического лица в качестве налогоплательщика, налога на НПД.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</w:r>
          </w:p>
          <w:p>
            <w:pPr>
              <w:pStyle w:val="625"/>
              <w:numPr>
                <w:ilvl w:val="0"/>
                <w:numId w:val="1"/>
              </w:numPr>
              <w:ind w:left="0" w:right="28" w:firstLine="34"/>
              <w:jc w:val="both"/>
              <w:spacing w:after="0" w:line="240" w:lineRule="auto"/>
              <w:tabs>
                <w:tab w:val="left" w:pos="421" w:leader="none"/>
              </w:tabs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/>
                <w:bCs/>
                <w14:ligatures w14:val="standardContextual"/>
              </w:rPr>
              <w:t xml:space="preserve">Вся отчетная документация предоставляется Заказчику обязательно в электронном виде (</w:t>
            </w:r>
            <w:r>
              <w:rPr>
                <w:rFonts w:ascii="Times New Roman" w:hAnsi="Times New Roman"/>
                <w:bCs/>
                <w14:ligatures w14:val="standardContextual"/>
              </w:rPr>
              <w:t xml:space="preserve">usb</w:t>
            </w:r>
            <w:r>
              <w:rPr>
                <w:rFonts w:ascii="Times New Roman" w:hAnsi="Times New Roman"/>
                <w:bCs/>
                <w14:ligatures w14:val="standardContextual"/>
              </w:rPr>
              <w:t xml:space="preserve"> – </w:t>
            </w:r>
            <w:r>
              <w:rPr>
                <w:rFonts w:ascii="Times New Roman" w:hAnsi="Times New Roman"/>
                <w:bCs/>
                <w14:ligatures w14:val="standardContextual"/>
              </w:rPr>
              <w:t xml:space="preserve">флеш</w:t>
            </w:r>
            <w:r>
              <w:rPr>
                <w:rFonts w:ascii="Times New Roman" w:hAnsi="Times New Roman"/>
                <w:bCs/>
                <w14:ligatures w14:val="standardContextual"/>
              </w:rPr>
              <w:t xml:space="preserve"> - накопителе) и на бумажном носителе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</w:r>
          </w:p>
        </w:tc>
      </w:tr>
      <w:tr>
        <w:trPr>
          <w:trHeight w:val="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/>
                <w:lang w:eastAsia="ru-RU"/>
                <w14:ligatures w14:val="standardContextual"/>
              </w:rPr>
              <w:t xml:space="preserve">Место приемки результатов оказания услуг</w:t>
            </w:r>
            <w:r>
              <w:rPr>
                <w:rFonts w:ascii="Times New Roman" w:hAnsi="Times New Roman" w:eastAsia="Times New Roman"/>
                <w:lang w:eastAsia="ru-RU"/>
                <w14:ligatures w14:val="standardContextual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  <w14:ligatures w14:val="standardContextual"/>
              </w:rPr>
            </w:pPr>
            <w:r>
              <w:rPr>
                <w:rFonts w:ascii="Times New Roman" w:hAnsi="Times New Roman" w:eastAsia="Times New Roman"/>
                <w:lang w:eastAsia="ru-RU"/>
                <w14:ligatures w14:val="standardContextual"/>
              </w:rPr>
              <w:t xml:space="preserve">Отчетность предоставляется по адресу: 430005, Республика Мордовия, г. Саранск, ул. Московская, д. 14, пом. 2.</w:t>
            </w:r>
            <w:r>
              <w:rPr>
                <w:rFonts w:ascii="Times New Roman" w:hAnsi="Times New Roman" w:eastAsia="Times New Roman"/>
                <w:lang w:eastAsia="ru-RU"/>
                <w14:ligatures w14:val="standardContextual"/>
              </w:rPr>
              <w:tab/>
            </w:r>
            <w:r>
              <w:rPr>
                <w:rFonts w:ascii="Times New Roman" w:hAnsi="Times New Roman" w:eastAsia="Times New Roman"/>
                <w:lang w:eastAsia="ru-RU"/>
                <w14:ligatures w14:val="standardContextual"/>
              </w:rPr>
            </w:r>
          </w:p>
        </w:tc>
      </w:tr>
    </w:tbl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b/>
          <w:bCs/>
          <w:lang w:eastAsia="ru-RU"/>
        </w:rPr>
      </w:r>
      <w:r>
        <w:rPr>
          <w:rFonts w:ascii="Times New Roman" w:hAnsi="Times New Roman" w:eastAsia="Times New Roman"/>
          <w:b/>
          <w:bCs/>
          <w:lang w:eastAsia="ru-RU"/>
        </w:rPr>
      </w:r>
    </w:p>
    <w:p>
      <w:pPr>
        <w:pStyle w:val="630"/>
        <w:ind w:right="283"/>
        <w:jc w:val="right"/>
        <w:tabs>
          <w:tab w:val="left" w:pos="5670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Приложение №</w:t>
      </w:r>
      <w:r>
        <w:rPr>
          <w:b/>
          <w:bCs/>
          <w:sz w:val="22"/>
          <w:szCs w:val="22"/>
        </w:rPr>
        <w:t xml:space="preserve">2 </w:t>
      </w:r>
      <w:r>
        <w:rPr>
          <w:b/>
          <w:bCs/>
          <w:sz w:val="22"/>
          <w:szCs w:val="22"/>
        </w:rPr>
        <w:t xml:space="preserve">к Техническому заданию</w:t>
      </w:r>
      <w:r>
        <w:rPr>
          <w:b/>
          <w:bCs/>
          <w:sz w:val="22"/>
          <w:szCs w:val="22"/>
        </w:rPr>
      </w:r>
    </w:p>
    <w:p>
      <w:pPr>
        <w:ind w:right="283"/>
        <w:tabs>
          <w:tab w:val="center" w:pos="4677" w:leader="none"/>
          <w:tab w:val="left" w:pos="5670" w:leader="none"/>
          <w:tab w:val="left" w:pos="6855" w:leader="none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(на бланке организации)</w:t>
      </w:r>
      <w:r>
        <w:rPr>
          <w:rFonts w:ascii="Times New Roman" w:hAnsi="Times New Roman"/>
          <w:i/>
        </w:rPr>
      </w:r>
    </w:p>
    <w:p>
      <w:pPr>
        <w:ind w:left="6379" w:right="283"/>
        <w:jc w:val="both"/>
        <w:tabs>
          <w:tab w:val="left" w:pos="567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Директору МКК Фонд поддержки предпринимательства РМ</w:t>
      </w:r>
      <w:r>
        <w:rPr>
          <w:rFonts w:ascii="Times New Roman" w:hAnsi="Times New Roman"/>
        </w:rPr>
      </w:r>
    </w:p>
    <w:p>
      <w:pPr>
        <w:ind w:left="6379" w:right="283"/>
        <w:jc w:val="both"/>
        <w:tabs>
          <w:tab w:val="left" w:pos="567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Е.Н. </w:t>
      </w:r>
      <w:r>
        <w:rPr>
          <w:rFonts w:ascii="Times New Roman" w:hAnsi="Times New Roman"/>
        </w:rPr>
        <w:t xml:space="preserve">Калачиной</w:t>
      </w:r>
      <w:r>
        <w:rPr>
          <w:rFonts w:ascii="Times New Roman" w:hAnsi="Times New Roman"/>
        </w:rPr>
      </w:r>
    </w:p>
    <w:p>
      <w:pPr>
        <w:jc w:val="center"/>
        <w:tabs>
          <w:tab w:val="center" w:pos="4677" w:leader="none"/>
          <w:tab w:val="left" w:pos="6855" w:leader="none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tabs>
          <w:tab w:val="center" w:pos="4677" w:leader="none"/>
          <w:tab w:val="left" w:pos="6855" w:leader="none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КОММЕРЧЕСКОЕ ПРЕДЛОЖЕНИЕ</w:t>
      </w:r>
      <w:r>
        <w:rPr>
          <w:rFonts w:ascii="Times New Roman" w:hAnsi="Times New Roman"/>
          <w:b/>
        </w:rPr>
      </w:r>
    </w:p>
    <w:p>
      <w:pPr>
        <w:jc w:val="center"/>
        <w:tabs>
          <w:tab w:val="center" w:pos="4677" w:leader="none"/>
          <w:tab w:val="left" w:pos="6855" w:leader="none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на оказание услуг по</w:t>
      </w:r>
      <w:r>
        <w:rPr>
          <w:rFonts w:ascii="Times New Roman" w:hAnsi="Times New Roman"/>
          <w:b/>
        </w:rPr>
        <w:t xml:space="preserve"> ___________________________________________</w:t>
      </w:r>
      <w:r>
        <w:rPr>
          <w:rFonts w:ascii="Times New Roman" w:hAnsi="Times New Roman"/>
          <w:b/>
        </w:rPr>
      </w:r>
    </w:p>
    <w:p>
      <w:pPr>
        <w:ind w:firstLine="708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(название услуги (меры поддержки))</w:t>
      </w:r>
      <w:r>
        <w:rPr>
          <w:rFonts w:ascii="Times New Roman" w:hAnsi="Times New Roman"/>
          <w:bCs/>
          <w:sz w:val="16"/>
          <w:szCs w:val="16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Изучив запрос коммерческих предложений на оказание услуг по</w:t>
      </w:r>
      <w:r>
        <w:rPr>
          <w:rFonts w:ascii="Times New Roman" w:hAnsi="Times New Roman"/>
        </w:rPr>
      </w:r>
    </w:p>
    <w:p>
      <w:pPr>
        <w:ind w:hanging="142"/>
        <w:jc w:val="both"/>
        <w:spacing w:after="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</w:rPr>
        <w:t xml:space="preserve">___________________________________________________________________________________</w:t>
      </w:r>
      <w:r>
        <w:rPr>
          <w:rFonts w:ascii="Times New Roman" w:hAnsi="Times New Roman"/>
          <w:bCs/>
          <w:sz w:val="16"/>
          <w:szCs w:val="16"/>
        </w:rPr>
        <w:t xml:space="preserve">, </w:t>
      </w:r>
      <w:r>
        <w:rPr>
          <w:rFonts w:ascii="Times New Roman" w:hAnsi="Times New Roman"/>
          <w:bCs/>
          <w:sz w:val="16"/>
          <w:szCs w:val="16"/>
        </w:rPr>
      </w:r>
    </w:p>
    <w:p>
      <w:pPr>
        <w:ind w:firstLine="708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(наименование услуги (меры поддержки))</w:t>
      </w:r>
      <w:r>
        <w:rPr>
          <w:rFonts w:ascii="Times New Roman" w:hAnsi="Times New Roman"/>
          <w:bCs/>
          <w:sz w:val="16"/>
          <w:szCs w:val="16"/>
        </w:rPr>
      </w:r>
    </w:p>
    <w:p>
      <w:pPr>
        <w:jc w:val="center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 </w:t>
      </w:r>
      <w:r>
        <w:rPr>
          <w:rFonts w:ascii="Times New Roman" w:hAnsi="Times New Roman"/>
        </w:rPr>
      </w:r>
    </w:p>
    <w:p>
      <w:pPr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(наименование участника закупки)</w:t>
      </w:r>
      <w:r>
        <w:rPr>
          <w:rFonts w:ascii="Times New Roman" w:hAnsi="Times New Roman"/>
          <w:bCs/>
          <w:sz w:val="16"/>
          <w:szCs w:val="16"/>
        </w:rPr>
      </w:r>
    </w:p>
    <w:p>
      <w:pPr>
        <w:jc w:val="both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лице, ____________________________________________________________________________   </w:t>
      </w:r>
      <w:r>
        <w:rPr>
          <w:rFonts w:ascii="Times New Roman" w:hAnsi="Times New Roman"/>
        </w:rPr>
      </w:r>
    </w:p>
    <w:p>
      <w:pPr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(наименование должности, Ф.И.О. руководителя, уполномоченного лица для юридического лица) </w:t>
      </w:r>
      <w:r>
        <w:rPr>
          <w:rFonts w:ascii="Times New Roman" w:hAnsi="Times New Roman"/>
          <w:bCs/>
          <w:sz w:val="16"/>
          <w:szCs w:val="16"/>
        </w:rPr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сообщает о согласии участвовать в закупке и направляет настоящее коммерческое предложение:</w:t>
      </w:r>
      <w:r>
        <w:rPr>
          <w:rFonts w:ascii="Times New Roman" w:hAnsi="Times New Roman"/>
        </w:rPr>
      </w:r>
    </w:p>
    <w:tbl>
      <w:tblPr>
        <w:tblStyle w:val="629"/>
        <w:tblW w:w="0" w:type="auto"/>
        <w:tblLook w:val="04A0" w:firstRow="1" w:lastRow="0" w:firstColumn="1" w:lastColumn="0" w:noHBand="0" w:noVBand="1"/>
      </w:tblPr>
      <w:tblGrid>
        <w:gridCol w:w="5005"/>
        <w:gridCol w:w="4340"/>
      </w:tblGrid>
      <w:tr>
        <w:trPr>
          <w:trHeight w:val="531"/>
        </w:trPr>
        <w:tc>
          <w:tcPr>
            <w:tcW w:w="53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Полное наименование поставщика</w:t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1061"/>
        </w:trPr>
        <w:tc>
          <w:tcPr>
            <w:tcW w:w="53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Местонахождение поставщика, контактный тел., эл. почта, </w:t>
            </w:r>
            <w:r>
              <w:rPr>
                <w:rFonts w:ascii="Times New Roman" w:hAnsi="Times New Roman"/>
                <w:b/>
                <w:bCs/>
              </w:rPr>
              <w:t xml:space="preserve">дата рождения</w:t>
            </w:r>
            <w:r>
              <w:rPr>
                <w:rFonts w:ascii="Times New Roman" w:hAnsi="Times New Roman"/>
              </w:rPr>
              <w:t xml:space="preserve"> (для ИП и самозанятых), паспортные данные (для ИП и самозанятых) 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531"/>
        </w:trPr>
        <w:tc>
          <w:tcPr>
            <w:tcW w:w="53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ИНН, КПП, ОГРН, ОГРНИП поставщика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803"/>
        </w:trPr>
        <w:tc>
          <w:tcPr>
            <w:tcW w:w="53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заключаемого договора</w:t>
            </w:r>
            <w:r>
              <w:rPr>
                <w:rFonts w:ascii="Times New Roman" w:hAnsi="Times New Roman"/>
              </w:rPr>
              <w:t xml:space="preserve"> (включая НДС/НДФЛ и все взносы/все расходы исполнителя, связанные с оказанием услуг) в руб.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789"/>
        </w:trPr>
        <w:tc>
          <w:tcPr>
            <w:tcW w:w="53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за 1(одну) единицу услуг</w:t>
            </w:r>
            <w:r>
              <w:rPr>
                <w:rFonts w:ascii="Times New Roman" w:hAnsi="Times New Roman"/>
              </w:rPr>
              <w:t xml:space="preserve"> (включая НДС/НДФЛ и все взносы/все расходы исполнителя, связанные с оказанием услуг) в руб.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531"/>
        </w:trPr>
        <w:tc>
          <w:tcPr>
            <w:tcW w:w="53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Дополнительные описания предмета закупки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6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действия коммерческого предложения 31.12.2024г.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right="425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наше коммерческое предложение будет принято, мы берем на себя обязательство оказать услуги в соответствии с требованиями предмета закупки и условиями, установленными в техническом задании и согласно нашим предложениям.</w:t>
      </w:r>
      <w:r>
        <w:rPr>
          <w:rFonts w:ascii="Times New Roman" w:hAnsi="Times New Roman"/>
        </w:rPr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Должность субъекта МСП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ФИО руководителя</w:t>
      </w:r>
      <w:r>
        <w:rPr>
          <w:rFonts w:ascii="Times New Roman" w:hAnsi="Times New Roman"/>
          <w:b/>
          <w:bCs/>
        </w:rPr>
      </w:r>
    </w:p>
    <w:p>
      <w:pPr>
        <w:ind w:firstLine="35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5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rPr>
      <w:rFonts w:ascii="Calibri" w:hAnsi="Calibri" w:eastAsia="Calibri" w:cs="Times New Roman"/>
      <w14:ligatures w14:val="none"/>
    </w:r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List Paragraph"/>
    <w:basedOn w:val="621"/>
    <w:link w:val="626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eastAsiaTheme="minorEastAsia" w:cstheme="minorBidi"/>
      <w:lang w:eastAsia="ru-RU"/>
    </w:rPr>
  </w:style>
  <w:style w:type="character" w:styleId="626" w:customStyle="1">
    <w:name w:val="Абзац списка Знак"/>
    <w:link w:val="625"/>
    <w:uiPriority w:val="34"/>
    <w:qFormat/>
    <w:rPr>
      <w:rFonts w:eastAsiaTheme="minorEastAsia"/>
      <w:lang w:eastAsia="ru-RU"/>
      <w14:ligatures w14:val="none"/>
    </w:rPr>
  </w:style>
  <w:style w:type="paragraph" w:styleId="627">
    <w:name w:val="Normal (Web)"/>
    <w:basedOn w:val="621"/>
    <w:link w:val="62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lang w:eastAsia="ru-RU"/>
    </w:rPr>
  </w:style>
  <w:style w:type="character" w:styleId="628" w:customStyle="1">
    <w:name w:val="Обычный (Интернет) Знак"/>
    <w:link w:val="627"/>
    <w:uiPriority w:val="99"/>
    <w:rPr>
      <w:rFonts w:ascii="Times New Roman" w:hAnsi="Times New Roman" w:eastAsia="Times New Roman" w:cs="Times New Roman"/>
      <w:lang w:eastAsia="ru-RU"/>
      <w14:ligatures w14:val="none"/>
    </w:rPr>
  </w:style>
  <w:style w:type="table" w:styleId="629">
    <w:name w:val="Table Grid"/>
    <w:basedOn w:val="623"/>
    <w:uiPriority w:val="39"/>
    <w:pPr>
      <w:spacing w:after="0" w:line="240" w:lineRule="auto"/>
    </w:pPr>
    <w:rPr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0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PR-менеджер</dc:creator>
  <cp:keywords/>
  <dc:description/>
  <cp:lastModifiedBy>Лариса Абрамова</cp:lastModifiedBy>
  <cp:revision>2</cp:revision>
  <dcterms:created xsi:type="dcterms:W3CDTF">2024-01-23T12:42:00Z</dcterms:created>
  <dcterms:modified xsi:type="dcterms:W3CDTF">2024-01-23T14:05:05Z</dcterms:modified>
</cp:coreProperties>
</file>